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13B" w:rsidRPr="00B74E36" w:rsidRDefault="00FD7270" w:rsidP="00B74E36">
      <w:pPr>
        <w:pStyle w:val="Backmatter"/>
        <w:spacing w:before="156" w:after="156"/>
        <w:rPr>
          <w:color w:val="auto"/>
          <w:sz w:val="16"/>
          <w:szCs w:val="16"/>
        </w:rPr>
      </w:pPr>
      <w:r w:rsidRPr="00B74E36">
        <w:rPr>
          <w:color w:val="auto"/>
        </w:rPr>
        <w:t>Supplementary Material</w:t>
      </w:r>
    </w:p>
    <w:p w:rsidR="007A313B" w:rsidRPr="00B74E36" w:rsidRDefault="007A313B">
      <w:pPr>
        <w:ind w:firstLine="320"/>
        <w:rPr>
          <w:rFonts w:ascii="Times New Roman" w:hAnsi="Times New Roman"/>
          <w:color w:val="auto"/>
          <w:sz w:val="16"/>
          <w:szCs w:val="16"/>
        </w:rPr>
      </w:pPr>
    </w:p>
    <w:p w:rsidR="007A313B" w:rsidRPr="00B74E36" w:rsidRDefault="00FD7270" w:rsidP="00B74E36">
      <w:pPr>
        <w:pStyle w:val="Tablecaption"/>
        <w:spacing w:before="312" w:after="312"/>
        <w:rPr>
          <w:color w:val="auto"/>
        </w:rPr>
      </w:pPr>
      <w:bookmarkStart w:id="0" w:name="OLE_LINK1"/>
      <w:bookmarkStart w:id="1" w:name="OLE_LINK2"/>
      <w:r w:rsidRPr="00B74E36">
        <w:rPr>
          <w:color w:val="auto"/>
        </w:rPr>
        <w:t>Supplementary</w:t>
      </w:r>
      <w:r w:rsidRPr="00B74E36">
        <w:rPr>
          <w:color w:val="auto"/>
        </w:rPr>
        <w:t xml:space="preserve"> Table </w:t>
      </w:r>
      <w:r w:rsidRPr="00B74E36">
        <w:rPr>
          <w:rFonts w:eastAsia="宋体"/>
          <w:color w:val="auto"/>
        </w:rPr>
        <w:t>1</w:t>
      </w:r>
      <w:r w:rsidRPr="00B74E36">
        <w:rPr>
          <w:color w:val="auto"/>
        </w:rPr>
        <w:t xml:space="preserve">. </w:t>
      </w:r>
      <w:r w:rsidRPr="00B74E36">
        <w:rPr>
          <w:color w:val="auto"/>
        </w:rPr>
        <w:t>Pharmacokinetic parameters of effective components in BBR and BBR-CA.</w:t>
      </w:r>
      <w:r w:rsidRPr="00B74E36">
        <w:rPr>
          <w:color w:val="auto"/>
        </w:rPr>
        <w:t xml:space="preserve"> (n = 6; mean ± SD).</w:t>
      </w: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907"/>
        <w:gridCol w:w="1304"/>
        <w:gridCol w:w="1191"/>
        <w:gridCol w:w="1474"/>
        <w:gridCol w:w="1134"/>
        <w:gridCol w:w="1134"/>
        <w:gridCol w:w="1417"/>
        <w:gridCol w:w="1176"/>
      </w:tblGrid>
      <w:tr w:rsidR="00B74E36" w:rsidRPr="00B74E36" w:rsidTr="00B74E36">
        <w:trPr>
          <w:trHeight w:val="567"/>
          <w:jc w:val="center"/>
        </w:trPr>
        <w:tc>
          <w:tcPr>
            <w:tcW w:w="10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Analytes</w:t>
            </w:r>
          </w:p>
        </w:tc>
        <w:tc>
          <w:tcPr>
            <w:tcW w:w="90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Dose</w:t>
            </w:r>
            <w:r w:rsidRP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(mg/kg)</w:t>
            </w:r>
          </w:p>
        </w:tc>
        <w:tc>
          <w:tcPr>
            <w:tcW w:w="130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t</w:t>
            </w:r>
            <w:r w:rsidRPr="00B74E36">
              <w:rPr>
                <w:rFonts w:eastAsia="宋体"/>
                <w:color w:val="auto"/>
                <w:vertAlign w:val="subscript"/>
              </w:rPr>
              <w:t>1/2</w:t>
            </w:r>
            <w:r w:rsidRPr="00B74E36">
              <w:rPr>
                <w:rFonts w:eastAsia="宋体"/>
                <w:color w:val="auto"/>
                <w:vertAlign w:val="subscript"/>
                <w:lang w:eastAsia="zh-CN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(h)</w:t>
            </w:r>
          </w:p>
        </w:tc>
        <w:tc>
          <w:tcPr>
            <w:tcW w:w="119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T</w:t>
            </w:r>
            <w:r w:rsidRPr="00B74E36">
              <w:rPr>
                <w:rFonts w:eastAsia="宋体"/>
                <w:color w:val="auto"/>
                <w:vertAlign w:val="subscript"/>
              </w:rPr>
              <w:t>max</w:t>
            </w:r>
            <w:r w:rsidRPr="00B74E36">
              <w:rPr>
                <w:rFonts w:eastAsia="宋体"/>
                <w:color w:val="auto"/>
              </w:rPr>
              <w:t xml:space="preserve"> (h)</w:t>
            </w:r>
          </w:p>
        </w:tc>
        <w:tc>
          <w:tcPr>
            <w:tcW w:w="147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C</w:t>
            </w:r>
            <w:r w:rsidRPr="00B74E36">
              <w:rPr>
                <w:rFonts w:eastAsia="宋体"/>
                <w:color w:val="auto"/>
                <w:vertAlign w:val="subscript"/>
              </w:rPr>
              <w:t>max</w:t>
            </w:r>
            <w:r w:rsidRPr="00B74E36">
              <w:rPr>
                <w:rFonts w:eastAsia="宋体"/>
                <w:color w:val="auto"/>
                <w:vertAlign w:val="subscript"/>
                <w:lang w:eastAsia="zh-CN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(ng/mL)</w:t>
            </w:r>
          </w:p>
        </w:tc>
        <w:tc>
          <w:tcPr>
            <w:tcW w:w="113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AUC</w:t>
            </w:r>
            <w:r w:rsidRPr="00B74E36">
              <w:rPr>
                <w:rFonts w:eastAsia="宋体"/>
                <w:color w:val="auto"/>
                <w:vertAlign w:val="subscript"/>
              </w:rPr>
              <w:t xml:space="preserve">0-t </w:t>
            </w:r>
            <w:r w:rsidRPr="00B74E36">
              <w:rPr>
                <w:rFonts w:eastAsia="宋体"/>
                <w:color w:val="auto"/>
              </w:rPr>
              <w:t>(ng/mL*h)</w:t>
            </w:r>
          </w:p>
        </w:tc>
        <w:tc>
          <w:tcPr>
            <w:tcW w:w="113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AUC</w:t>
            </w:r>
            <w:r w:rsidRPr="00B74E36">
              <w:rPr>
                <w:rFonts w:eastAsia="宋体"/>
                <w:color w:val="auto"/>
                <w:vertAlign w:val="subscript"/>
              </w:rPr>
              <w:t>0-∞</w:t>
            </w:r>
            <w:r w:rsidRPr="00B74E36">
              <w:rPr>
                <w:rFonts w:eastAsia="宋体"/>
                <w:color w:val="auto"/>
              </w:rPr>
              <w:t xml:space="preserve"> (ng/mL*h)</w:t>
            </w:r>
          </w:p>
        </w:tc>
        <w:tc>
          <w:tcPr>
            <w:tcW w:w="141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MR</w:t>
            </w:r>
            <w:r w:rsidRPr="00B74E36">
              <w:rPr>
                <w:rFonts w:eastAsia="宋体"/>
                <w:color w:val="auto"/>
              </w:rPr>
              <w:t>T</w:t>
            </w:r>
            <w:r w:rsidRPr="00B74E36">
              <w:rPr>
                <w:rFonts w:eastAsia="宋体"/>
                <w:color w:val="auto"/>
                <w:vertAlign w:val="subscript"/>
              </w:rPr>
              <w:t>0-t</w:t>
            </w:r>
            <w:r w:rsidR="00B74E36" w:rsidRP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(h)</w:t>
            </w:r>
          </w:p>
        </w:tc>
        <w:tc>
          <w:tcPr>
            <w:tcW w:w="117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Cl/F</w:t>
            </w:r>
            <w:r w:rsidRP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(mg/kg)</w:t>
            </w:r>
          </w:p>
        </w:tc>
      </w:tr>
      <w:tr w:rsidR="00B74E36" w:rsidRPr="00B74E36" w:rsidTr="00B74E36">
        <w:trPr>
          <w:trHeight w:val="567"/>
          <w:jc w:val="center"/>
        </w:trPr>
        <w:tc>
          <w:tcPr>
            <w:tcW w:w="10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BBR</w:t>
            </w:r>
          </w:p>
        </w:tc>
        <w:tc>
          <w:tcPr>
            <w:tcW w:w="90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80</w:t>
            </w:r>
          </w:p>
        </w:tc>
        <w:tc>
          <w:tcPr>
            <w:tcW w:w="130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15.18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0.83</w:t>
            </w:r>
          </w:p>
        </w:tc>
        <w:tc>
          <w:tcPr>
            <w:tcW w:w="119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0.75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0.22</w:t>
            </w:r>
          </w:p>
        </w:tc>
        <w:tc>
          <w:tcPr>
            <w:tcW w:w="147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61.54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12.55</w:t>
            </w:r>
          </w:p>
        </w:tc>
        <w:tc>
          <w:tcPr>
            <w:tcW w:w="113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224.89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33.45</w:t>
            </w:r>
          </w:p>
        </w:tc>
        <w:tc>
          <w:tcPr>
            <w:tcW w:w="113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332.37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71.79</w:t>
            </w:r>
          </w:p>
        </w:tc>
        <w:tc>
          <w:tcPr>
            <w:tcW w:w="141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20.96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15.36</w:t>
            </w:r>
          </w:p>
        </w:tc>
        <w:tc>
          <w:tcPr>
            <w:tcW w:w="117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0.24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0.64</w:t>
            </w:r>
          </w:p>
        </w:tc>
      </w:tr>
      <w:tr w:rsidR="00B74E36" w:rsidRPr="00B74E36" w:rsidTr="00B74E36">
        <w:trPr>
          <w:trHeight w:val="567"/>
          <w:jc w:val="center"/>
        </w:trPr>
        <w:tc>
          <w:tcPr>
            <w:tcW w:w="10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BBR-CA</w:t>
            </w:r>
          </w:p>
        </w:tc>
        <w:tc>
          <w:tcPr>
            <w:tcW w:w="90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115</w:t>
            </w:r>
          </w:p>
        </w:tc>
        <w:tc>
          <w:tcPr>
            <w:tcW w:w="130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8.06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0.74</w:t>
            </w:r>
            <w:r w:rsidRPr="00B74E36">
              <w:rPr>
                <w:rFonts w:eastAsia="宋体"/>
                <w:color w:val="auto"/>
                <w:vertAlign w:val="superscript"/>
              </w:rPr>
              <w:t>*</w:t>
            </w:r>
          </w:p>
        </w:tc>
        <w:tc>
          <w:tcPr>
            <w:tcW w:w="119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0.75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0.11</w:t>
            </w:r>
          </w:p>
        </w:tc>
        <w:tc>
          <w:tcPr>
            <w:tcW w:w="147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382.62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58.7</w:t>
            </w:r>
            <w:r w:rsidRPr="00B74E36">
              <w:rPr>
                <w:rFonts w:eastAsia="宋体"/>
                <w:color w:val="auto"/>
                <w:vertAlign w:val="superscript"/>
              </w:rPr>
              <w:t>*</w:t>
            </w:r>
          </w:p>
        </w:tc>
        <w:tc>
          <w:tcPr>
            <w:tcW w:w="113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720.39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69.1</w:t>
            </w:r>
            <w:r w:rsidRPr="00B74E36">
              <w:rPr>
                <w:rFonts w:eastAsia="宋体"/>
                <w:color w:val="auto"/>
                <w:vertAlign w:val="superscript"/>
              </w:rPr>
              <w:t>*</w:t>
            </w:r>
          </w:p>
        </w:tc>
        <w:tc>
          <w:tcPr>
            <w:tcW w:w="1134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788.22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69.7</w:t>
            </w:r>
            <w:r w:rsidRPr="00B74E36">
              <w:rPr>
                <w:rFonts w:eastAsia="宋体"/>
                <w:color w:val="auto"/>
                <w:vertAlign w:val="superscript"/>
              </w:rPr>
              <w:t>*</w:t>
            </w:r>
          </w:p>
        </w:tc>
        <w:tc>
          <w:tcPr>
            <w:tcW w:w="141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7.80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3.11</w:t>
            </w:r>
            <w:r w:rsidRPr="00B74E36">
              <w:rPr>
                <w:rFonts w:eastAsia="宋体"/>
                <w:color w:val="auto"/>
                <w:vertAlign w:val="superscript"/>
              </w:rPr>
              <w:t>*</w:t>
            </w:r>
          </w:p>
        </w:tc>
        <w:tc>
          <w:tcPr>
            <w:tcW w:w="117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0.15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0.22</w:t>
            </w:r>
          </w:p>
        </w:tc>
      </w:tr>
    </w:tbl>
    <w:p w:rsidR="007A313B" w:rsidRPr="00B74E36" w:rsidRDefault="00FD7270" w:rsidP="00B74E36">
      <w:pPr>
        <w:pStyle w:val="Tablefooter"/>
        <w:rPr>
          <w:rFonts w:eastAsia="宋体"/>
          <w:color w:val="auto"/>
        </w:rPr>
      </w:pPr>
      <w:r w:rsidRPr="00B74E36">
        <w:rPr>
          <w:color w:val="auto"/>
        </w:rPr>
        <w:t>t</w:t>
      </w:r>
      <w:r w:rsidRPr="00B74E36">
        <w:rPr>
          <w:color w:val="auto"/>
          <w:vertAlign w:val="subscript"/>
        </w:rPr>
        <w:t>1/2</w:t>
      </w:r>
      <w:r w:rsidRPr="00B74E36">
        <w:rPr>
          <w:color w:val="auto"/>
        </w:rPr>
        <w:t xml:space="preserve">: drug half-life; </w:t>
      </w:r>
      <w:r w:rsidRPr="00B74E36">
        <w:rPr>
          <w:rFonts w:eastAsia="宋体"/>
          <w:color w:val="auto"/>
          <w:kern w:val="24"/>
        </w:rPr>
        <w:t>T</w:t>
      </w:r>
      <w:r w:rsidRPr="00B74E36">
        <w:rPr>
          <w:rFonts w:eastAsia="宋体"/>
          <w:color w:val="auto"/>
          <w:kern w:val="24"/>
          <w:vertAlign w:val="subscript"/>
        </w:rPr>
        <w:t>max</w:t>
      </w:r>
      <w:r w:rsidRPr="00B74E36">
        <w:rPr>
          <w:color w:val="auto"/>
        </w:rPr>
        <w:t>: time to maximum concentration; C</w:t>
      </w:r>
      <w:r w:rsidRPr="00B74E36">
        <w:rPr>
          <w:color w:val="auto"/>
          <w:vertAlign w:val="subscript"/>
        </w:rPr>
        <w:t>max</w:t>
      </w:r>
      <w:r w:rsidRPr="00B74E36">
        <w:rPr>
          <w:color w:val="auto"/>
        </w:rPr>
        <w:t xml:space="preserve">: maximum </w:t>
      </w:r>
      <w:r w:rsidRPr="00B74E36">
        <w:rPr>
          <w:color w:val="auto"/>
        </w:rPr>
        <w:t>concentration; AUC</w:t>
      </w:r>
      <w:r w:rsidRPr="00B74E36">
        <w:rPr>
          <w:color w:val="auto"/>
          <w:vertAlign w:val="subscript"/>
        </w:rPr>
        <w:t>0-t</w:t>
      </w:r>
      <w:r w:rsidRPr="00B74E36">
        <w:rPr>
          <w:color w:val="auto"/>
        </w:rPr>
        <w:t>: area under the concentration-time curve from time 0 to time t; AUC</w:t>
      </w:r>
      <w:r w:rsidRPr="00B74E36">
        <w:rPr>
          <w:color w:val="auto"/>
          <w:vertAlign w:val="subscript"/>
        </w:rPr>
        <w:t>0-∞</w:t>
      </w:r>
      <w:r w:rsidRPr="00B74E36">
        <w:rPr>
          <w:color w:val="auto"/>
        </w:rPr>
        <w:t>: area under the concentration-time curve from time 0 to infinity; MRT</w:t>
      </w:r>
      <w:r w:rsidRPr="00B74E36">
        <w:rPr>
          <w:color w:val="auto"/>
          <w:vertAlign w:val="subscript"/>
        </w:rPr>
        <w:t>0-t</w:t>
      </w:r>
      <w:r w:rsidRPr="00B74E36">
        <w:rPr>
          <w:color w:val="auto"/>
        </w:rPr>
        <w:t>: mean residence time from time 0 to time t; Cl/F: apparent clearance.</w:t>
      </w:r>
      <w:r w:rsidRPr="00B74E36">
        <w:rPr>
          <w:rFonts w:eastAsia="宋体"/>
          <w:color w:val="auto"/>
          <w:lang w:eastAsia="zh-CN"/>
        </w:rPr>
        <w:t xml:space="preserve"> </w:t>
      </w:r>
      <w:r w:rsidRPr="00B74E36">
        <w:rPr>
          <w:rFonts w:eastAsia="宋体"/>
          <w:i/>
          <w:iCs/>
          <w:color w:val="auto"/>
          <w:lang w:eastAsia="zh-CN"/>
        </w:rPr>
        <w:t>*</w:t>
      </w:r>
      <w:r w:rsidR="00B74E36" w:rsidRPr="00B74E36">
        <w:rPr>
          <w:i/>
          <w:iCs/>
          <w:color w:val="auto"/>
        </w:rPr>
        <w:t xml:space="preserve">p </w:t>
      </w:r>
      <w:r w:rsidRPr="00B74E36">
        <w:rPr>
          <w:color w:val="auto"/>
        </w:rPr>
        <w:t>&lt;</w:t>
      </w:r>
      <w:r w:rsidR="00B74E36" w:rsidRPr="00B74E36">
        <w:rPr>
          <w:color w:val="auto"/>
        </w:rPr>
        <w:t xml:space="preserve"> </w:t>
      </w:r>
      <w:r w:rsidRPr="00B74E36">
        <w:rPr>
          <w:color w:val="auto"/>
        </w:rPr>
        <w:t>0.0</w:t>
      </w:r>
      <w:r w:rsidRPr="00B74E36">
        <w:rPr>
          <w:rFonts w:eastAsia="宋体"/>
          <w:color w:val="auto"/>
          <w:lang w:eastAsia="zh-CN"/>
        </w:rPr>
        <w:t>5</w:t>
      </w:r>
      <w:r w:rsidRPr="00B74E36">
        <w:rPr>
          <w:color w:val="auto"/>
        </w:rPr>
        <w:t xml:space="preserve"> compared with </w:t>
      </w:r>
      <w:r w:rsidRPr="00B74E36">
        <w:rPr>
          <w:rFonts w:eastAsia="宋体"/>
          <w:color w:val="auto"/>
          <w:lang w:eastAsia="zh-CN"/>
        </w:rPr>
        <w:t>BBR</w:t>
      </w:r>
      <w:r w:rsidRPr="00B74E36">
        <w:rPr>
          <w:color w:val="auto"/>
        </w:rPr>
        <w:t xml:space="preserve"> group</w:t>
      </w:r>
      <w:r w:rsidRPr="00B74E36">
        <w:rPr>
          <w:rFonts w:eastAsia="宋体"/>
          <w:color w:val="auto"/>
          <w:lang w:eastAsia="zh-CN"/>
        </w:rPr>
        <w:t>.</w:t>
      </w:r>
    </w:p>
    <w:p w:rsidR="007A313B" w:rsidRPr="00B74E36" w:rsidRDefault="007A313B">
      <w:pPr>
        <w:ind w:firstLine="320"/>
        <w:rPr>
          <w:rFonts w:ascii="Times New Roman" w:hAnsi="Times New Roman"/>
          <w:color w:val="auto"/>
          <w:sz w:val="16"/>
          <w:szCs w:val="16"/>
        </w:rPr>
      </w:pPr>
      <w:bookmarkStart w:id="2" w:name="_GoBack"/>
      <w:bookmarkEnd w:id="0"/>
      <w:bookmarkEnd w:id="1"/>
      <w:bookmarkEnd w:id="2"/>
    </w:p>
    <w:p w:rsidR="007A313B" w:rsidRPr="00B74E36" w:rsidRDefault="00FD7270" w:rsidP="00B74E36">
      <w:pPr>
        <w:pStyle w:val="Tablecaption"/>
        <w:spacing w:before="312" w:after="312"/>
      </w:pPr>
      <w:r w:rsidRPr="00B74E36">
        <w:t>Suppleme</w:t>
      </w:r>
      <w:r w:rsidRPr="00B74E36">
        <w:rPr>
          <w:color w:val="auto"/>
        </w:rPr>
        <w:t>ntary</w:t>
      </w:r>
      <w:r w:rsidRPr="00B74E36">
        <w:rPr>
          <w:color w:val="auto"/>
        </w:rPr>
        <w:t xml:space="preserve"> Table </w:t>
      </w:r>
      <w:r w:rsidRPr="00B74E36">
        <w:rPr>
          <w:rFonts w:eastAsia="宋体"/>
          <w:color w:val="auto"/>
        </w:rPr>
        <w:t>2</w:t>
      </w:r>
      <w:r w:rsidRPr="00B74E36">
        <w:rPr>
          <w:color w:val="auto"/>
        </w:rPr>
        <w:t>.</w:t>
      </w:r>
      <w:r w:rsidRPr="00B74E36">
        <w:rPr>
          <w:color w:val="auto"/>
        </w:rPr>
        <w:t xml:space="preserve"> </w:t>
      </w:r>
      <w:r w:rsidRPr="00B74E36">
        <w:rPr>
          <w:color w:val="auto"/>
        </w:rPr>
        <w:t>Solubility and logp values of BBR and BBR-CA</w:t>
      </w:r>
      <w:r w:rsidRPr="00B74E36">
        <w:rPr>
          <w:color w:val="auto"/>
        </w:rPr>
        <w:t>.</w:t>
      </w:r>
      <w:r w:rsidRPr="00B74E36">
        <w:rPr>
          <w:color w:val="auto"/>
        </w:rPr>
        <w:t xml:space="preserve"> </w:t>
      </w:r>
      <w:r w:rsidRPr="00B74E36">
        <w:rPr>
          <w:color w:val="auto"/>
        </w:rPr>
        <w:t>(n = 3, mean ± SD)</w:t>
      </w:r>
      <w:r w:rsidRPr="00B74E36">
        <w:rPr>
          <w:color w:val="auto"/>
        </w:rPr>
        <w:t>.</w:t>
      </w:r>
      <w:r w:rsidRPr="00B74E36">
        <w:rPr>
          <w:color w:val="auto"/>
        </w:rPr>
        <w:t xml:space="preserve"> </w:t>
      </w:r>
    </w:p>
    <w:p w:rsidR="007A313B" w:rsidRPr="00B74E36" w:rsidRDefault="007A313B">
      <w:pPr>
        <w:ind w:firstLine="420"/>
        <w:rPr>
          <w:rFonts w:ascii="Times New Roman" w:hAnsi="Times New Roman"/>
          <w:color w:val="aut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1984"/>
        <w:gridCol w:w="1662"/>
      </w:tblGrid>
      <w:tr w:rsidR="00B74E36" w:rsidRPr="00B74E36" w:rsidTr="00B74E36">
        <w:trPr>
          <w:trHeight w:val="567"/>
          <w:jc w:val="center"/>
        </w:trPr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color w:val="auto"/>
              </w:rPr>
              <w:t>Ingredients</w:t>
            </w:r>
          </w:p>
        </w:tc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color w:val="auto"/>
              </w:rPr>
              <w:t>Solubility</w:t>
            </w:r>
            <w:r w:rsidR="00B74E36">
              <w:rPr>
                <w:color w:val="auto"/>
              </w:rPr>
              <w:t xml:space="preserve"> </w:t>
            </w:r>
            <w:r w:rsidRPr="00B74E36">
              <w:rPr>
                <w:color w:val="auto"/>
              </w:rPr>
              <w:t>(mg·mL</w:t>
            </w:r>
            <w:r w:rsidRPr="00B74E36">
              <w:rPr>
                <w:color w:val="auto"/>
                <w:vertAlign w:val="superscript"/>
              </w:rPr>
              <w:t>-1</w:t>
            </w:r>
            <w:r w:rsidRPr="00B74E36">
              <w:rPr>
                <w:color w:val="auto"/>
              </w:rPr>
              <w:t>)</w:t>
            </w:r>
          </w:p>
        </w:tc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color w:val="auto"/>
              </w:rPr>
              <w:t>LogP</w:t>
            </w:r>
          </w:p>
        </w:tc>
      </w:tr>
      <w:tr w:rsidR="00B74E36" w:rsidRPr="00B74E36" w:rsidTr="00B74E36">
        <w:trPr>
          <w:trHeight w:val="567"/>
          <w:jc w:val="center"/>
        </w:trPr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BBR</w:t>
            </w:r>
          </w:p>
        </w:tc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  <w:lang w:eastAsia="zh-CN"/>
              </w:rPr>
              <w:t>0.05</w:t>
            </w:r>
          </w:p>
        </w:tc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-0.7446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0.1556</w:t>
            </w:r>
          </w:p>
        </w:tc>
      </w:tr>
      <w:tr w:rsidR="00B74E36" w:rsidRPr="00B74E36" w:rsidTr="00B74E36">
        <w:trPr>
          <w:trHeight w:val="567"/>
          <w:jc w:val="center"/>
        </w:trPr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BBR-CA</w:t>
            </w:r>
          </w:p>
        </w:tc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  <w:lang w:eastAsia="zh-CN"/>
              </w:rPr>
              <w:t>0.1</w:t>
            </w:r>
          </w:p>
        </w:tc>
        <w:tc>
          <w:tcPr>
            <w:tcW w:w="0" w:type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A313B" w:rsidRPr="00B74E36" w:rsidRDefault="00FD7270" w:rsidP="00B74E36">
            <w:pPr>
              <w:pStyle w:val="Tablebody"/>
              <w:rPr>
                <w:rFonts w:eastAsia="宋体"/>
                <w:color w:val="auto"/>
              </w:rPr>
            </w:pPr>
            <w:r w:rsidRPr="00B74E36">
              <w:rPr>
                <w:rFonts w:eastAsia="宋体"/>
                <w:color w:val="auto"/>
              </w:rPr>
              <w:t>1.0015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±</w:t>
            </w:r>
            <w:r w:rsidR="00B74E36">
              <w:rPr>
                <w:rFonts w:eastAsia="宋体"/>
                <w:color w:val="auto"/>
              </w:rPr>
              <w:t xml:space="preserve"> </w:t>
            </w:r>
            <w:r w:rsidRPr="00B74E36">
              <w:rPr>
                <w:rFonts w:eastAsia="宋体"/>
                <w:color w:val="auto"/>
              </w:rPr>
              <w:t>0.0243</w:t>
            </w:r>
          </w:p>
        </w:tc>
      </w:tr>
    </w:tbl>
    <w:p w:rsidR="007A313B" w:rsidRPr="00B74E36" w:rsidRDefault="00FD7270" w:rsidP="00B74E36">
      <w:pPr>
        <w:pStyle w:val="Tablefooter"/>
        <w:rPr>
          <w:color w:val="auto"/>
        </w:rPr>
      </w:pPr>
      <w:r w:rsidRPr="00B74E36">
        <w:rPr>
          <w:color w:val="auto"/>
        </w:rPr>
        <w:t xml:space="preserve">Solubility values denote the mean equilibrium </w:t>
      </w:r>
      <w:r w:rsidRPr="00B74E36">
        <w:rPr>
          <w:color w:val="auto"/>
        </w:rPr>
        <w:t>solubility determined in Krebs</w:t>
      </w:r>
      <w:r w:rsidRPr="00B74E36">
        <w:rPr>
          <w:rFonts w:eastAsia="宋体"/>
          <w:color w:val="auto"/>
          <w:lang w:eastAsia="zh-CN"/>
        </w:rPr>
        <w:t>-</w:t>
      </w:r>
      <w:r w:rsidRPr="00B74E36">
        <w:rPr>
          <w:color w:val="auto"/>
        </w:rPr>
        <w:t>Ringer solution. LogP data are presented as mean±standard deviation (SD).</w:t>
      </w:r>
    </w:p>
    <w:p w:rsidR="007A313B" w:rsidRPr="00B74E36" w:rsidRDefault="007A313B">
      <w:pPr>
        <w:ind w:firstLine="320"/>
        <w:rPr>
          <w:rFonts w:ascii="Times New Roman" w:hAnsi="Times New Roman"/>
          <w:color w:val="auto"/>
          <w:sz w:val="16"/>
          <w:szCs w:val="16"/>
        </w:rPr>
      </w:pPr>
    </w:p>
    <w:sectPr w:rsidR="007A313B" w:rsidRPr="00B74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270" w:rsidRDefault="00FD7270">
      <w:pPr>
        <w:ind w:firstLine="420"/>
      </w:pPr>
      <w:r>
        <w:separator/>
      </w:r>
    </w:p>
  </w:endnote>
  <w:endnote w:type="continuationSeparator" w:id="0">
    <w:p w:rsidR="00FD7270" w:rsidRDefault="00FD727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270" w:rsidRDefault="00FD7270">
      <w:pPr>
        <w:ind w:firstLine="420"/>
      </w:pPr>
      <w:r>
        <w:separator/>
      </w:r>
    </w:p>
  </w:footnote>
  <w:footnote w:type="continuationSeparator" w:id="0">
    <w:p w:rsidR="00FD7270" w:rsidRDefault="00FD7270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007A1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6D2CCF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BF8D3B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F189C7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D90A7D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8DEE5A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97A29C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C04EDB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ABCC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F847BD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FF9E636"/>
    <w:rsid w:val="FFF9E636"/>
    <w:rsid w:val="007A313B"/>
    <w:rsid w:val="00B74E36"/>
    <w:rsid w:val="00FD7270"/>
    <w:rsid w:val="24EC3A6F"/>
    <w:rsid w:val="574EDAF6"/>
    <w:rsid w:val="78EF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1B98DB"/>
  <w15:docId w15:val="{9A018D67-AF0A-4342-8F01-B0FFCD9D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 w:uiPriority="99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Default Paragraph Font" w:semiHidden="1" w:uiPriority="1" w:qFormat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</w:latentStyles>
  <w:style w:type="paragraph" w:default="1" w:styleId="a">
    <w:name w:val="Normal"/>
    <w:rsid w:val="00B74E36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B74E36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B74E36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B74E36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B74E3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74E36"/>
  </w:style>
  <w:style w:type="paragraph" w:styleId="a3">
    <w:name w:val="Body Text"/>
    <w:basedOn w:val="a"/>
    <w:link w:val="a4"/>
    <w:uiPriority w:val="1"/>
    <w:semiHidden/>
    <w:qFormat/>
    <w:pPr>
      <w:autoSpaceDE w:val="0"/>
      <w:autoSpaceDN w:val="0"/>
      <w:adjustRightInd w:val="0"/>
      <w:ind w:firstLine="420"/>
    </w:pPr>
  </w:style>
  <w:style w:type="paragraph" w:customStyle="1" w:styleId="a5">
    <w:name w:val="致谢部分"/>
    <w:basedOn w:val="a3"/>
    <w:semiHidden/>
    <w:qFormat/>
    <w:pPr>
      <w:snapToGrid w:val="0"/>
      <w:spacing w:before="240" w:after="240" w:line="288" w:lineRule="auto"/>
      <w:ind w:firstLine="0"/>
    </w:pPr>
    <w:rPr>
      <w:b/>
      <w:kern w:val="2"/>
      <w:sz w:val="24"/>
      <w:szCs w:val="24"/>
    </w:rPr>
  </w:style>
  <w:style w:type="paragraph" w:customStyle="1" w:styleId="Abstract">
    <w:name w:val="Abstract"/>
    <w:next w:val="a"/>
    <w:uiPriority w:val="5"/>
    <w:qFormat/>
    <w:rsid w:val="00B74E36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character" w:customStyle="1" w:styleId="a4">
    <w:name w:val="正文文本 字符"/>
    <w:basedOn w:val="a0"/>
    <w:link w:val="a3"/>
    <w:uiPriority w:val="1"/>
    <w:semiHidden/>
    <w:rsid w:val="00B74E36"/>
    <w:rPr>
      <w:rFonts w:ascii="Times New Roman" w:eastAsia="Times New Roman" w:hAnsi="Times New Roman" w:cs="Times New Roman"/>
      <w:sz w:val="21"/>
      <w:szCs w:val="21"/>
    </w:rPr>
  </w:style>
  <w:style w:type="paragraph" w:customStyle="1" w:styleId="Academiceditor">
    <w:name w:val="Academic editor"/>
    <w:uiPriority w:val="4"/>
    <w:qFormat/>
    <w:rsid w:val="00B74E36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B74E36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B74E36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B74E36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B74E36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B74E36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B74E36"/>
    <w:pPr>
      <w:numPr>
        <w:numId w:val="11"/>
      </w:numPr>
      <w:adjustRightInd w:val="0"/>
      <w:snapToGrid w:val="0"/>
      <w:spacing w:before="40" w:after="40"/>
      <w:ind w:hangingChars="2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B74E36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B74E36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B74E36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B74E36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B74E36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B74E36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B74E36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B74E36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B74E36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B74E36"/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B74E36"/>
    <w:pPr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B74E36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B74E36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B74E3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B74E36"/>
    <w:rPr>
      <w:rFonts w:ascii="Times New Roman" w:eastAsia="Times New Roman" w:hAnsi="Times New Roman" w:cs="Times New Roman"/>
      <w:snapToGrid w:val="0"/>
      <w:color w:val="000000"/>
      <w:sz w:val="21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B74E36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B74E36"/>
    <w:rPr>
      <w:rFonts w:ascii="Times New Roman" w:eastAsia="Times New Roman" w:hAnsi="Times New Roman" w:cs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B74E36"/>
    <w:rPr>
      <w:rFonts w:ascii="Times New Roman" w:eastAsia="Times New Roman" w:hAnsi="Times New Roman" w:cs="Times New Roman"/>
      <w:bCs/>
      <w:i/>
      <w:noProof/>
      <w:color w:val="000000"/>
      <w:sz w:val="21"/>
      <w:szCs w:val="21"/>
    </w:rPr>
  </w:style>
  <w:style w:type="paragraph" w:styleId="a6">
    <w:name w:val="Balloon Text"/>
    <w:basedOn w:val="a"/>
    <w:link w:val="a7"/>
    <w:uiPriority w:val="99"/>
    <w:semiHidden/>
    <w:rsid w:val="00B74E36"/>
    <w:rPr>
      <w:rFonts w:cs="Tahoma"/>
      <w:szCs w:val="18"/>
    </w:rPr>
  </w:style>
  <w:style w:type="character" w:customStyle="1" w:styleId="a7">
    <w:name w:val="批注框文本 字符"/>
    <w:link w:val="a6"/>
    <w:uiPriority w:val="99"/>
    <w:semiHidden/>
    <w:rsid w:val="00B74E36"/>
    <w:rPr>
      <w:rFonts w:ascii="Palatino Linotype" w:eastAsia="宋体" w:hAnsi="Palatino Linotype" w:cs="Tahoma"/>
      <w:noProof/>
      <w:color w:val="000000"/>
      <w:szCs w:val="18"/>
    </w:rPr>
  </w:style>
  <w:style w:type="paragraph" w:styleId="a8">
    <w:name w:val="Normal (Web)"/>
    <w:basedOn w:val="a"/>
    <w:uiPriority w:val="99"/>
    <w:semiHidden/>
    <w:rsid w:val="00B74E36"/>
    <w:rPr>
      <w:szCs w:val="24"/>
    </w:rPr>
  </w:style>
  <w:style w:type="table" w:styleId="a9">
    <w:name w:val="Table Grid"/>
    <w:basedOn w:val="a1"/>
    <w:uiPriority w:val="59"/>
    <w:rsid w:val="00B74E36"/>
    <w:pPr>
      <w:spacing w:line="260" w:lineRule="atLeast"/>
      <w:jc w:val="both"/>
    </w:pPr>
    <w:rPr>
      <w:rFonts w:ascii="Palatino Linotype" w:eastAsia="宋体" w:hAnsi="Palatino Linotype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semiHidden/>
    <w:unhideWhenUsed/>
    <w:rsid w:val="00B74E36"/>
    <w:pPr>
      <w:spacing w:line="240" w:lineRule="auto"/>
    </w:pPr>
  </w:style>
  <w:style w:type="character" w:customStyle="1" w:styleId="ab">
    <w:name w:val="尾注文本 字符"/>
    <w:link w:val="aa"/>
    <w:semiHidden/>
    <w:rsid w:val="00B74E36"/>
    <w:rPr>
      <w:rFonts w:ascii="Palatino Linotype" w:eastAsia="宋体" w:hAnsi="Palatino Linotype" w:cs="Times New Roman"/>
      <w:noProof/>
      <w:color w:val="000000"/>
    </w:rPr>
  </w:style>
  <w:style w:type="table" w:styleId="4">
    <w:name w:val="Plain Table 4"/>
    <w:basedOn w:val="a1"/>
    <w:uiPriority w:val="44"/>
    <w:rsid w:val="00B74E36"/>
    <w:rPr>
      <w:rFonts w:ascii="Calibri" w:eastAsia="宋体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c">
    <w:name w:val="line number"/>
    <w:basedOn w:val="a0"/>
    <w:uiPriority w:val="99"/>
    <w:semiHidden/>
    <w:unhideWhenUsed/>
    <w:rsid w:val="00B74E36"/>
  </w:style>
  <w:style w:type="paragraph" w:styleId="ad">
    <w:name w:val="footer"/>
    <w:basedOn w:val="a"/>
    <w:link w:val="ae"/>
    <w:uiPriority w:val="99"/>
    <w:semiHidden/>
    <w:rsid w:val="00B74E3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e">
    <w:name w:val="页脚 字符"/>
    <w:link w:val="ad"/>
    <w:uiPriority w:val="99"/>
    <w:semiHidden/>
    <w:rsid w:val="00B74E36"/>
    <w:rPr>
      <w:rFonts w:ascii="Palatino Linotype" w:eastAsia="宋体" w:hAnsi="Palatino Linotype" w:cs="Times New Roman"/>
      <w:noProof/>
      <w:color w:val="000000"/>
      <w:szCs w:val="18"/>
    </w:rPr>
  </w:style>
  <w:style w:type="paragraph" w:styleId="af">
    <w:name w:val="header"/>
    <w:basedOn w:val="a"/>
    <w:link w:val="af0"/>
    <w:uiPriority w:val="99"/>
    <w:semiHidden/>
    <w:rsid w:val="00B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0">
    <w:name w:val="页眉 字符"/>
    <w:link w:val="af"/>
    <w:uiPriority w:val="99"/>
    <w:semiHidden/>
    <w:rsid w:val="00B74E36"/>
    <w:rPr>
      <w:rFonts w:ascii="Palatino Linotype" w:eastAsia="宋体" w:hAnsi="Palatino Linotype" w:cs="Times New Roman"/>
      <w:noProof/>
      <w:color w:val="000000"/>
      <w:szCs w:val="18"/>
    </w:rPr>
  </w:style>
  <w:style w:type="character" w:styleId="af1">
    <w:name w:val="Placeholder Text"/>
    <w:uiPriority w:val="99"/>
    <w:semiHidden/>
    <w:rsid w:val="00B74E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LI.MENG_</dc:creator>
  <cp:lastModifiedBy>Erin Chee</cp:lastModifiedBy>
  <cp:revision>2</cp:revision>
  <dcterms:created xsi:type="dcterms:W3CDTF">2026-06-26T18:50:00Z</dcterms:created>
  <dcterms:modified xsi:type="dcterms:W3CDTF">2026-07-16T05:50:00Z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9A1FD22FEF1E83FDEAE83D6A279D1A84_41</vt:lpwstr>
  </property>
  <property fmtid="{D5CDD505-2E9C-101B-9397-08002B2CF9AE}" pid="4" name="KSOTemplateDocerSaveRecord">
    <vt:lpwstr>eyJoZGlkIjoiYWYzNGNkZWVkOWQ0NTkyNTQ4MWQ3ZGNkZGFlYTUzOWIiLCJ1c2VySWQiOiIzNTQ0ODU1ODkifQ==</vt:lpwstr>
  </property>
  <property fmtid="{D5CDD505-2E9C-101B-9397-08002B2CF9AE}" pid="5" name="GrammarlyDocumentId">
    <vt:lpwstr>8ef6c8a1-f623-4e8d-97d7-8676502941f6</vt:lpwstr>
  </property>
</Properties>
</file>